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52E9D2F0" wp14:textId="401133CD">
      <w:r w:rsidRPr="25DF9C96" w:rsidR="25DF9C96">
        <w:rPr>
          <w:rFonts w:ascii="Calibri" w:hAnsi="Calibri" w:eastAsia="Calibri" w:cs="Calibri"/>
          <w:b w:val="1"/>
          <w:bCs w:val="1"/>
          <w:caps w:val="1"/>
          <w:noProof w:val="0"/>
          <w:color w:val="222222"/>
          <w:sz w:val="24"/>
          <w:szCs w:val="24"/>
          <w:lang w:val="en-US"/>
        </w:rPr>
        <w:t>2024 WOODĒ CART BAG</w:t>
      </w:r>
    </w:p>
    <w:p xmlns:wp14="http://schemas.microsoft.com/office/word/2010/wordml" w:rsidP="25DF9C96" wp14:paraId="076F052E" wp14:textId="018F6FF4">
      <w:pPr>
        <w:spacing w:after="160" w:afterAutospacing="off" w:line="257" w:lineRule="auto"/>
      </w:pPr>
      <w:r w:rsidRPr="25DF9C96" w:rsidR="25DF9C96">
        <w:rPr>
          <w:rFonts w:ascii="Calibri" w:hAnsi="Calibri" w:eastAsia="Calibri" w:cs="Calibri"/>
          <w:b w:val="1"/>
          <w:bCs w:val="1"/>
          <w:noProof w:val="0"/>
          <w:sz w:val="20"/>
          <w:szCs w:val="20"/>
          <w:lang w:val="en-US"/>
        </w:rPr>
        <w:t xml:space="preserve"> </w:t>
      </w:r>
    </w:p>
    <w:p xmlns:wp14="http://schemas.microsoft.com/office/word/2010/wordml" w:rsidP="25DF9C96" wp14:paraId="67EB6460" wp14:textId="091BD591">
      <w:pPr>
        <w:spacing w:after="160" w:afterAutospacing="off" w:line="257" w:lineRule="auto"/>
        <w:rPr>
          <w:rFonts w:ascii="Calibri" w:hAnsi="Calibri" w:eastAsia="Calibri" w:cs="Calibri" w:asciiTheme="minorAscii" w:hAnsiTheme="minorAscii" w:eastAsiaTheme="minorAscii" w:cstheme="minorAscii"/>
          <w:i w:val="1"/>
          <w:iCs w:val="1"/>
          <w:noProof w:val="0"/>
          <w:sz w:val="22"/>
          <w:szCs w:val="22"/>
          <w:u w:val="single"/>
          <w:lang w:val="en-US"/>
        </w:rPr>
      </w:pPr>
      <w:r w:rsidRPr="25DF9C96" w:rsidR="25DF9C96">
        <w:rPr>
          <w:rFonts w:ascii="Calibri" w:hAnsi="Calibri" w:eastAsia="Calibri" w:cs="Calibri" w:asciiTheme="minorAscii" w:hAnsiTheme="minorAscii" w:eastAsiaTheme="minorAscii" w:cstheme="minorAscii"/>
          <w:i w:val="1"/>
          <w:iCs w:val="1"/>
          <w:noProof w:val="0"/>
          <w:sz w:val="22"/>
          <w:szCs w:val="22"/>
          <w:u w:val="single"/>
          <w:lang w:val="en-US"/>
        </w:rPr>
        <w:t>Description:</w:t>
      </w:r>
    </w:p>
    <w:p xmlns:wp14="http://schemas.microsoft.com/office/word/2010/wordml" w:rsidP="25DF9C96" wp14:paraId="7094DA28" wp14:textId="0A000606">
      <w:pPr>
        <w:spacing w:after="160" w:afterAutospacing="off" w:line="257" w:lineRule="auto"/>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Keep your clubs separated and protected with the 15-way Woodē top, designed to organise your woods and irons making it more convenient for you to find the right club. This golf cart bag can hold everything in the 11 pockets with easy access to your valuables and a cooler pocket for your drinks.</w:t>
      </w:r>
    </w:p>
    <w:p xmlns:wp14="http://schemas.microsoft.com/office/word/2010/wordml" w:rsidP="25DF9C96" wp14:paraId="4225016B" wp14:textId="04B8419A">
      <w:pPr>
        <w:spacing w:after="160" w:afterAutospacing="off" w:line="257" w:lineRule="auto"/>
        <w:rPr>
          <w:rFonts w:ascii="Calibri" w:hAnsi="Calibri" w:eastAsia="Calibri" w:cs="Calibri" w:asciiTheme="minorAscii" w:hAnsiTheme="minorAscii" w:eastAsiaTheme="minorAscii" w:cstheme="minorAscii"/>
          <w:i w:val="1"/>
          <w:iCs w:val="1"/>
          <w:noProof w:val="0"/>
          <w:color w:val="222222"/>
          <w:sz w:val="22"/>
          <w:szCs w:val="22"/>
          <w:u w:val="single"/>
          <w:lang w:val="en-US"/>
        </w:rPr>
      </w:pPr>
    </w:p>
    <w:p xmlns:wp14="http://schemas.microsoft.com/office/word/2010/wordml" w:rsidP="25DF9C96" wp14:paraId="55199EF3" wp14:textId="2013C546">
      <w:pPr>
        <w:spacing w:after="160" w:afterAutospacing="off" w:line="257" w:lineRule="auto"/>
        <w:rPr>
          <w:rFonts w:ascii="Calibri" w:hAnsi="Calibri" w:eastAsia="Calibri" w:cs="Calibri" w:asciiTheme="minorAscii" w:hAnsiTheme="minorAscii" w:eastAsiaTheme="minorAscii" w:cstheme="minorAscii"/>
          <w:i w:val="1"/>
          <w:iCs w:val="1"/>
          <w:noProof w:val="0"/>
          <w:color w:val="222222"/>
          <w:sz w:val="22"/>
          <w:szCs w:val="22"/>
          <w:u w:val="single"/>
          <w:lang w:val="en-US"/>
        </w:rPr>
      </w:pPr>
      <w:r w:rsidRPr="25DF9C96" w:rsidR="25DF9C96">
        <w:rPr>
          <w:rFonts w:ascii="Calibri" w:hAnsi="Calibri" w:eastAsia="Calibri" w:cs="Calibri" w:asciiTheme="minorAscii" w:hAnsiTheme="minorAscii" w:eastAsiaTheme="minorAscii" w:cstheme="minorAscii"/>
          <w:i w:val="1"/>
          <w:iCs w:val="1"/>
          <w:noProof w:val="0"/>
          <w:color w:val="222222"/>
          <w:sz w:val="22"/>
          <w:szCs w:val="22"/>
          <w:u w:val="single"/>
          <w:lang w:val="en-US"/>
        </w:rPr>
        <w:t>Features &amp; Benefits:</w:t>
      </w:r>
    </w:p>
    <w:p xmlns:wp14="http://schemas.microsoft.com/office/word/2010/wordml" w:rsidP="25DF9C96" wp14:paraId="4F98450E" wp14:textId="3CA3712D">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15-way Woodē top better organises your woods and your irons with extra room for large putter grips </w:t>
      </w:r>
    </w:p>
    <w:p xmlns:wp14="http://schemas.microsoft.com/office/word/2010/wordml" w:rsidP="25DF9C96" wp14:paraId="32543848" wp14:textId="0986CB2B">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11 front facing pockets including a Rapid Access Snap Ball Pocket, Rapid Access Snap fleece lined valuables pocket, and oversized insulated cooler pocket </w:t>
      </w:r>
    </w:p>
    <w:p xmlns:wp14="http://schemas.microsoft.com/office/word/2010/wordml" w:rsidP="25DF9C96" wp14:paraId="0B2C4F40" wp14:textId="07382A65">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Push cart lockdown straps secure bag in place on push carts and e-trollies. </w:t>
      </w:r>
    </w:p>
    <w:p xmlns:wp14="http://schemas.microsoft.com/office/word/2010/wordml" w:rsidP="25DF9C96" wp14:paraId="22DED4E7" wp14:textId="4F211C83">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E-Trolley compatible base with spare battery pocket </w:t>
      </w:r>
    </w:p>
    <w:p xmlns:wp14="http://schemas.microsoft.com/office/word/2010/wordml" w:rsidP="25DF9C96" wp14:paraId="5CCE7B65" wp14:textId="449A5F19">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Padded single shoulder strap </w:t>
      </w:r>
    </w:p>
    <w:p xmlns:wp14="http://schemas.microsoft.com/office/word/2010/wordml" w:rsidP="25DF9C96" wp14:paraId="6819D24C" wp14:textId="3FA42F68">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Velcro glove patch </w:t>
      </w:r>
    </w:p>
    <w:p xmlns:wp14="http://schemas.microsoft.com/office/word/2010/wordml" w:rsidP="25DF9C96" wp14:paraId="133A0A83" wp14:textId="2C5094AF">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Umbrella sleeve </w:t>
      </w:r>
    </w:p>
    <w:p xmlns:wp14="http://schemas.microsoft.com/office/word/2010/wordml" w:rsidP="25DF9C96" wp14:paraId="7EAEB622" wp14:textId="0FD19D39">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Towel loop </w:t>
      </w:r>
    </w:p>
    <w:p xmlns:wp14="http://schemas.microsoft.com/office/word/2010/wordml" w:rsidP="25DF9C96" wp14:paraId="646C0F25" wp14:textId="476148CA">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Pen holder </w:t>
      </w:r>
    </w:p>
    <w:p xmlns:wp14="http://schemas.microsoft.com/office/word/2010/wordml" w:rsidP="25DF9C96" wp14:paraId="434F9949" wp14:textId="54926938">
      <w:pPr>
        <w:pStyle w:val="ListParagraph"/>
        <w:numPr>
          <w:ilvl w:val="0"/>
          <w:numId w:val="1"/>
        </w:numPr>
        <w:tabs>
          <w:tab w:val="left" w:leader="none" w:pos="0"/>
          <w:tab w:val="left" w:leader="none" w:pos="720"/>
        </w:tabs>
        <w:spacing w:before="0" w:beforeAutospacing="off" w:after="0" w:afterAutospacing="off"/>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 xml:space="preserve">Rain Cover Included </w:t>
      </w:r>
    </w:p>
    <w:p xmlns:wp14="http://schemas.microsoft.com/office/word/2010/wordml" w:rsidP="25DF9C96" wp14:paraId="7CBE1115" wp14:textId="672B9475">
      <w:pPr>
        <w:pStyle w:val="Normal"/>
        <w:spacing w:after="160" w:afterAutospacing="off" w:line="257" w:lineRule="auto"/>
        <w:rPr>
          <w:rFonts w:ascii="Calibri" w:hAnsi="Calibri" w:eastAsia="Calibri" w:cs="Calibri" w:asciiTheme="minorAscii" w:hAnsiTheme="minorAscii" w:eastAsiaTheme="minorAscii" w:cstheme="minorAscii"/>
          <w:i w:val="1"/>
          <w:iCs w:val="1"/>
          <w:noProof w:val="0"/>
          <w:sz w:val="22"/>
          <w:szCs w:val="22"/>
          <w:u w:val="single"/>
          <w:lang w:val="en-US"/>
        </w:rPr>
      </w:pPr>
    </w:p>
    <w:p xmlns:wp14="http://schemas.microsoft.com/office/word/2010/wordml" w:rsidP="25DF9C96" wp14:paraId="5C845EBB" wp14:textId="03A1C654">
      <w:pPr>
        <w:pStyle w:val="Normal"/>
        <w:spacing w:after="160" w:afterAutospacing="off" w:line="257" w:lineRule="auto"/>
        <w:rPr>
          <w:rFonts w:ascii="Calibri" w:hAnsi="Calibri" w:eastAsia="Calibri" w:cs="Calibri" w:asciiTheme="minorAscii" w:hAnsiTheme="minorAscii" w:eastAsiaTheme="minorAscii" w:cstheme="minorAscii"/>
          <w:i w:val="1"/>
          <w:iCs w:val="1"/>
          <w:noProof w:val="0"/>
          <w:sz w:val="22"/>
          <w:szCs w:val="22"/>
          <w:u w:val="single"/>
          <w:lang w:val="en-US"/>
        </w:rPr>
      </w:pPr>
    </w:p>
    <w:p xmlns:wp14="http://schemas.microsoft.com/office/word/2010/wordml" w:rsidP="25DF9C96" wp14:paraId="5623B55A" wp14:textId="266D4A6B">
      <w:pPr>
        <w:spacing w:after="160" w:afterAutospacing="off" w:line="257" w:lineRule="auto"/>
        <w:rPr>
          <w:rFonts w:ascii="Calibri" w:hAnsi="Calibri" w:eastAsia="Calibri" w:cs="Calibri" w:asciiTheme="minorAscii" w:hAnsiTheme="minorAscii" w:eastAsiaTheme="minorAscii" w:cstheme="minorAscii"/>
          <w:i w:val="1"/>
          <w:iCs w:val="1"/>
          <w:noProof w:val="0"/>
          <w:sz w:val="22"/>
          <w:szCs w:val="22"/>
          <w:u w:val="single"/>
          <w:lang w:val="en-US"/>
        </w:rPr>
      </w:pPr>
      <w:r w:rsidRPr="25DF9C96" w:rsidR="25DF9C96">
        <w:rPr>
          <w:rFonts w:ascii="Calibri" w:hAnsi="Calibri" w:eastAsia="Calibri" w:cs="Calibri" w:asciiTheme="minorAscii" w:hAnsiTheme="minorAscii" w:eastAsiaTheme="minorAscii" w:cstheme="minorAscii"/>
          <w:i w:val="1"/>
          <w:iCs w:val="1"/>
          <w:noProof w:val="0"/>
          <w:sz w:val="22"/>
          <w:szCs w:val="22"/>
          <w:u w:val="single"/>
          <w:lang w:val="en-US"/>
        </w:rPr>
        <w:t>Product Specifications:</w:t>
      </w:r>
    </w:p>
    <w:p xmlns:wp14="http://schemas.microsoft.com/office/word/2010/wordml" w:rsidP="25DF9C96" wp14:paraId="74EF0D45" wp14:textId="103EE0C6">
      <w:pPr>
        <w:rPr>
          <w:rFonts w:ascii="Calibri" w:hAnsi="Calibri" w:eastAsia="Calibri" w:cs="Calibri" w:asciiTheme="minorAscii" w:hAnsiTheme="minorAscii" w:eastAsiaTheme="minorAscii" w:cstheme="minorAscii"/>
          <w:b w:val="1"/>
          <w:bCs w:val="1"/>
          <w:noProof w:val="0"/>
          <w:color w:val="222222"/>
          <w:sz w:val="22"/>
          <w:szCs w:val="22"/>
          <w:lang w:val="en-US"/>
        </w:rPr>
      </w:pPr>
      <w:r w:rsidRPr="25DF9C96" w:rsidR="25DF9C96">
        <w:rPr>
          <w:rFonts w:ascii="Calibri" w:hAnsi="Calibri" w:eastAsia="Calibri" w:cs="Calibri" w:asciiTheme="minorAscii" w:hAnsiTheme="minorAscii" w:eastAsiaTheme="minorAscii" w:cstheme="minorAscii"/>
          <w:b w:val="1"/>
          <w:bCs w:val="1"/>
          <w:noProof w:val="0"/>
          <w:color w:val="222222"/>
          <w:sz w:val="22"/>
          <w:szCs w:val="22"/>
          <w:lang w:val="en-US"/>
        </w:rPr>
        <w:t>Dimensions</w:t>
      </w:r>
    </w:p>
    <w:p xmlns:wp14="http://schemas.microsoft.com/office/word/2010/wordml" w:rsidP="25DF9C96" wp14:paraId="3CC4BA4F" wp14:textId="5DC475D7">
      <w:pPr>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47cm L x 42cm W x 86cm H</w:t>
      </w:r>
    </w:p>
    <w:p xmlns:wp14="http://schemas.microsoft.com/office/word/2010/wordml" w:rsidP="25DF9C96" wp14:paraId="2B83B6F2" wp14:textId="138B4D82">
      <w:pPr>
        <w:rPr>
          <w:rFonts w:ascii="Calibri" w:hAnsi="Calibri" w:eastAsia="Calibri" w:cs="Calibri" w:asciiTheme="minorAscii" w:hAnsiTheme="minorAscii" w:eastAsiaTheme="minorAscii" w:cstheme="minorAscii"/>
          <w:b w:val="1"/>
          <w:bCs w:val="1"/>
          <w:noProof w:val="0"/>
          <w:color w:val="222222"/>
          <w:sz w:val="22"/>
          <w:szCs w:val="22"/>
          <w:lang w:val="en-US"/>
        </w:rPr>
      </w:pPr>
      <w:r w:rsidRPr="25DF9C96" w:rsidR="25DF9C96">
        <w:rPr>
          <w:rFonts w:ascii="Calibri" w:hAnsi="Calibri" w:eastAsia="Calibri" w:cs="Calibri" w:asciiTheme="minorAscii" w:hAnsiTheme="minorAscii" w:eastAsiaTheme="minorAscii" w:cstheme="minorAscii"/>
          <w:b w:val="1"/>
          <w:bCs w:val="1"/>
          <w:noProof w:val="0"/>
          <w:color w:val="222222"/>
          <w:sz w:val="22"/>
          <w:szCs w:val="22"/>
          <w:lang w:val="en-US"/>
        </w:rPr>
        <w:t>Weight</w:t>
      </w:r>
    </w:p>
    <w:p xmlns:wp14="http://schemas.microsoft.com/office/word/2010/wordml" w:rsidP="25DF9C96" wp14:paraId="2F4ECBFC" wp14:textId="44F2EF7E">
      <w:pPr>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2.6 kg</w:t>
      </w:r>
    </w:p>
    <w:p xmlns:wp14="http://schemas.microsoft.com/office/word/2010/wordml" w:rsidP="25DF9C96" wp14:paraId="75D29775" wp14:textId="7E5FCB09">
      <w:pPr>
        <w:rPr>
          <w:rFonts w:ascii="Calibri" w:hAnsi="Calibri" w:eastAsia="Calibri" w:cs="Calibri" w:asciiTheme="minorAscii" w:hAnsiTheme="minorAscii" w:eastAsiaTheme="minorAscii" w:cstheme="minorAscii"/>
          <w:b w:val="1"/>
          <w:bCs w:val="1"/>
          <w:noProof w:val="0"/>
          <w:color w:val="222222"/>
          <w:sz w:val="22"/>
          <w:szCs w:val="22"/>
          <w:lang w:val="en-US"/>
        </w:rPr>
      </w:pPr>
      <w:r w:rsidRPr="25DF9C96" w:rsidR="25DF9C96">
        <w:rPr>
          <w:rFonts w:ascii="Calibri" w:hAnsi="Calibri" w:eastAsia="Calibri" w:cs="Calibri" w:asciiTheme="minorAscii" w:hAnsiTheme="minorAscii" w:eastAsiaTheme="minorAscii" w:cstheme="minorAscii"/>
          <w:b w:val="1"/>
          <w:bCs w:val="1"/>
          <w:noProof w:val="0"/>
          <w:color w:val="222222"/>
          <w:sz w:val="22"/>
          <w:szCs w:val="22"/>
          <w:lang w:val="en-US"/>
        </w:rPr>
        <w:t>Materials</w:t>
      </w:r>
    </w:p>
    <w:p xmlns:wp14="http://schemas.microsoft.com/office/word/2010/wordml" w:rsidP="25DF9C96" wp14:paraId="73E0D8D6" wp14:textId="334AD0E7">
      <w:pPr>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300D Double Ripstop Polyester</w:t>
      </w:r>
    </w:p>
    <w:p xmlns:wp14="http://schemas.microsoft.com/office/word/2010/wordml" w:rsidP="25DF9C96" wp14:paraId="0651E8F1" wp14:textId="328BEF3A">
      <w:pPr>
        <w:rPr>
          <w:rFonts w:ascii="Calibri" w:hAnsi="Calibri" w:eastAsia="Calibri" w:cs="Calibri" w:asciiTheme="minorAscii" w:hAnsiTheme="minorAscii" w:eastAsiaTheme="minorAscii" w:cstheme="minorAscii"/>
          <w:b w:val="1"/>
          <w:bCs w:val="1"/>
          <w:noProof w:val="0"/>
          <w:color w:val="222222"/>
          <w:sz w:val="22"/>
          <w:szCs w:val="22"/>
          <w:lang w:val="en-US"/>
        </w:rPr>
      </w:pPr>
      <w:r w:rsidRPr="25DF9C96" w:rsidR="25DF9C96">
        <w:rPr>
          <w:rFonts w:ascii="Calibri" w:hAnsi="Calibri" w:eastAsia="Calibri" w:cs="Calibri" w:asciiTheme="minorAscii" w:hAnsiTheme="minorAscii" w:eastAsiaTheme="minorAscii" w:cstheme="minorAscii"/>
          <w:b w:val="1"/>
          <w:bCs w:val="1"/>
          <w:noProof w:val="0"/>
          <w:color w:val="222222"/>
          <w:sz w:val="22"/>
          <w:szCs w:val="22"/>
          <w:lang w:val="en-US"/>
        </w:rPr>
        <w:t>Style</w:t>
      </w:r>
    </w:p>
    <w:p xmlns:wp14="http://schemas.microsoft.com/office/word/2010/wordml" w:rsidP="25DF9C96" wp14:paraId="69BDA3DF" wp14:textId="37F517E5">
      <w:pPr>
        <w:rPr>
          <w:rFonts w:ascii="Calibri" w:hAnsi="Calibri" w:eastAsia="Calibri" w:cs="Calibri" w:asciiTheme="minorAscii" w:hAnsiTheme="minorAscii" w:eastAsiaTheme="minorAscii" w:cstheme="minorAscii"/>
          <w:noProof w:val="0"/>
          <w:color w:val="222222"/>
          <w:sz w:val="22"/>
          <w:szCs w:val="22"/>
          <w:lang w:val="en-US"/>
        </w:rPr>
      </w:pPr>
      <w:r w:rsidRPr="25DF9C96" w:rsidR="25DF9C96">
        <w:rPr>
          <w:rFonts w:ascii="Calibri" w:hAnsi="Calibri" w:eastAsia="Calibri" w:cs="Calibri" w:asciiTheme="minorAscii" w:hAnsiTheme="minorAscii" w:eastAsiaTheme="minorAscii" w:cstheme="minorAscii"/>
          <w:noProof w:val="0"/>
          <w:color w:val="222222"/>
          <w:sz w:val="22"/>
          <w:szCs w:val="22"/>
          <w:lang w:val="en-US"/>
        </w:rPr>
        <w:t>8-way Woodē Top with full length dividers</w:t>
      </w:r>
    </w:p>
    <w:p xmlns:wp14="http://schemas.microsoft.com/office/word/2010/wordml" w:rsidP="25DF9C96" wp14:paraId="2C078E63" wp14:textId="5D8EA1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1e07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E26EEC"/>
    <w:rsid w:val="25DF9C96"/>
    <w:rsid w:val="61E2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C79"/>
  <w15:chartTrackingRefBased/>
  <w15:docId w15:val="{9A9EE1C2-B7DE-405E-A380-EFA49B9547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2f7fbfc7c7c4d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2024-03-05T00:30:16.9127973Z</dcterms:created>
  <dcterms:modified xsi:type="dcterms:W3CDTF">2024-03-05T00:30:59.5662042Z</dcterms:modified>
  <dc:creator>Eliese Angerer</dc:creator>
  <lastModifiedBy>Eliese Angerer</lastModifiedBy>
</coreProperties>
</file>